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2282DD19" w:rsidR="0090696E" w:rsidRPr="00F80A6E" w:rsidRDefault="00A918D2" w:rsidP="00F70C33">
      <w:pPr>
        <w:jc w:val="center"/>
        <w:rPr>
          <w:rFonts w:ascii="Times New Roman" w:hAnsi="Times New Roman" w:cs="Times New Roman"/>
          <w:b/>
          <w:bCs/>
          <w:kern w:val="0"/>
          <w14:ligatures w14:val="none"/>
        </w:rPr>
      </w:pPr>
      <w:r>
        <w:rPr>
          <w:rFonts w:ascii="Times New Roman" w:hAnsi="Times New Roman" w:cs="Times New Roman"/>
          <w:b/>
          <w:bCs/>
          <w:kern w:val="0"/>
          <w14:ligatures w14:val="none"/>
        </w:rPr>
        <w:t>Zero Accident Techniques</w:t>
      </w:r>
    </w:p>
    <w:p w14:paraId="5100AB20" w14:textId="77777777" w:rsidR="00DF58F4" w:rsidRDefault="00DF58F4" w:rsidP="00DF58F4">
      <w:pPr>
        <w:pStyle w:val="NormalWeb"/>
      </w:pPr>
      <w:r>
        <w:t>The pursuit of zero accidents in the construction industry is driven by comprehensive, multi-faceted strategies emphasizing management commitment, proactive safety planning, and robust worker involvement. The Construction Industry Institute's research underscores the importance of leading safety indicators, effective management practices, and targeted interventions.</w:t>
      </w:r>
    </w:p>
    <w:p w14:paraId="21B1D447" w14:textId="79D404D4" w:rsidR="00DF58F4" w:rsidRDefault="00DF58F4" w:rsidP="00DF58F4">
      <w:pPr>
        <w:pStyle w:val="NormalWeb"/>
        <w:numPr>
          <w:ilvl w:val="0"/>
          <w:numId w:val="8"/>
        </w:numPr>
      </w:pPr>
      <w:r>
        <w:rPr>
          <w:rStyle w:val="Strong"/>
          <w:rFonts w:eastAsiaTheme="majorEastAsia"/>
        </w:rPr>
        <w:t>Leading Indicators for Safety Performance</w:t>
      </w:r>
      <w:r>
        <w:t xml:space="preserve"> (</w:t>
      </w:r>
      <w:hyperlink r:id="rId7" w:history="1">
        <w:r w:rsidRPr="00037A4D">
          <w:rPr>
            <w:rStyle w:val="Hyperlink"/>
          </w:rPr>
          <w:t>RS284-1</w:t>
        </w:r>
      </w:hyperlink>
      <w:r>
        <w:t xml:space="preserve">, </w:t>
      </w:r>
      <w:hyperlink r:id="rId8" w:history="1">
        <w:r w:rsidRPr="00037A4D">
          <w:rPr>
            <w:rStyle w:val="Hyperlink"/>
          </w:rPr>
          <w:t>RR284-11</w:t>
        </w:r>
      </w:hyperlink>
      <w:r>
        <w:t>): Traditional lagging metrics like injury rates fail to drive significant safety improvements. Instead, the focus shifts to passive indicators (pre-construction strategies) and active indicators (measured and adjusted during construction). This approach includes implementing safety programs tailored to organizational culture and continuous monitoring of proactive metrics.</w:t>
      </w:r>
    </w:p>
    <w:p w14:paraId="3E295F9D" w14:textId="0D7C71B4" w:rsidR="00DF58F4" w:rsidRDefault="00DF58F4" w:rsidP="00DF58F4">
      <w:pPr>
        <w:pStyle w:val="NormalWeb"/>
        <w:numPr>
          <w:ilvl w:val="0"/>
          <w:numId w:val="8"/>
        </w:numPr>
      </w:pPr>
      <w:r>
        <w:rPr>
          <w:rStyle w:val="Strong"/>
          <w:rFonts w:eastAsiaTheme="majorEastAsia"/>
        </w:rPr>
        <w:t>Role of Owners</w:t>
      </w:r>
      <w:r>
        <w:t xml:space="preserve"> (</w:t>
      </w:r>
      <w:hyperlink r:id="rId9" w:history="1">
        <w:r w:rsidRPr="00037A4D">
          <w:rPr>
            <w:rStyle w:val="Hyperlink"/>
          </w:rPr>
          <w:t>RS190-1</w:t>
        </w:r>
      </w:hyperlink>
      <w:r>
        <w:t xml:space="preserve">, </w:t>
      </w:r>
      <w:hyperlink r:id="rId10" w:history="1">
        <w:r w:rsidRPr="00037A4D">
          <w:rPr>
            <w:rStyle w:val="Hyperlink"/>
          </w:rPr>
          <w:t>RR190-11</w:t>
        </w:r>
      </w:hyperlink>
      <w:r>
        <w:t>): Owners significantly influence safety outcomes by selecting safe contractors, setting stringent contractual safety requirements, and participating actively in safety management. Practices such as monitoring near-miss rates, enforcing emergency plans, and incentivizing safety compliance are crucial for achieving zero accidents.</w:t>
      </w:r>
    </w:p>
    <w:p w14:paraId="5445F03D" w14:textId="7376D719" w:rsidR="00DF58F4" w:rsidRDefault="00DF58F4" w:rsidP="00DF58F4">
      <w:pPr>
        <w:pStyle w:val="NormalWeb"/>
        <w:numPr>
          <w:ilvl w:val="0"/>
          <w:numId w:val="8"/>
        </w:numPr>
      </w:pPr>
      <w:r>
        <w:rPr>
          <w:rStyle w:val="Strong"/>
          <w:rFonts w:eastAsiaTheme="majorEastAsia"/>
        </w:rPr>
        <w:t>Near Miss Reporting Programs</w:t>
      </w:r>
      <w:r>
        <w:t xml:space="preserve"> (</w:t>
      </w:r>
      <w:hyperlink r:id="rId11" w:history="1">
        <w:r w:rsidRPr="00EA6181">
          <w:rPr>
            <w:rStyle w:val="Hyperlink"/>
          </w:rPr>
          <w:t>RS301-1</w:t>
        </w:r>
      </w:hyperlink>
      <w:r>
        <w:t xml:space="preserve">, </w:t>
      </w:r>
      <w:hyperlink r:id="rId12" w:history="1">
        <w:r w:rsidRPr="00EA6181">
          <w:rPr>
            <w:rStyle w:val="Hyperlink"/>
          </w:rPr>
          <w:t>RR301-11</w:t>
        </w:r>
      </w:hyperlink>
      <w:r>
        <w:t>): Identifying and analyzing near misses provides invaluable insights into hazardous conditions. Effective programs foster a culture of transparency, systematic data collection, and actionable responses, leading to lower injury rates and improved safety awareness.</w:t>
      </w:r>
    </w:p>
    <w:p w14:paraId="1A1E24B6" w14:textId="6327A350" w:rsidR="00DF58F4" w:rsidRDefault="00DF58F4" w:rsidP="00DF58F4">
      <w:pPr>
        <w:pStyle w:val="NormalWeb"/>
        <w:numPr>
          <w:ilvl w:val="0"/>
          <w:numId w:val="8"/>
        </w:numPr>
      </w:pPr>
      <w:r>
        <w:rPr>
          <w:rStyle w:val="Strong"/>
          <w:rFonts w:eastAsiaTheme="majorEastAsia"/>
        </w:rPr>
        <w:t>Operational Excellence for Safety</w:t>
      </w:r>
      <w:r>
        <w:t xml:space="preserve"> (</w:t>
      </w:r>
      <w:hyperlink r:id="rId13" w:history="1">
        <w:r w:rsidRPr="00EA6181">
          <w:rPr>
            <w:rStyle w:val="Hyperlink"/>
          </w:rPr>
          <w:t>RS317-1</w:t>
        </w:r>
      </w:hyperlink>
      <w:r>
        <w:t xml:space="preserve">, </w:t>
      </w:r>
      <w:hyperlink r:id="rId14" w:history="1">
        <w:r w:rsidRPr="00EA6181">
          <w:rPr>
            <w:rStyle w:val="Hyperlink"/>
          </w:rPr>
          <w:t>RR317-12</w:t>
        </w:r>
      </w:hyperlink>
      <w:r>
        <w:t>): Operational excellence is defined as "doing the right thing, the right way, every time." A robust model with safety drivers like employee engagement, just practices, and transformational leadership bridges gaps between corporate safety goals and site-level implementation, enhancing safety culture.</w:t>
      </w:r>
    </w:p>
    <w:p w14:paraId="117317B6" w14:textId="33DFAFB4" w:rsidR="00DF58F4" w:rsidRDefault="00DF58F4" w:rsidP="00DF58F4">
      <w:pPr>
        <w:pStyle w:val="NormalWeb"/>
        <w:numPr>
          <w:ilvl w:val="0"/>
          <w:numId w:val="8"/>
        </w:numPr>
      </w:pPr>
      <w:r>
        <w:rPr>
          <w:rStyle w:val="Strong"/>
          <w:rFonts w:eastAsiaTheme="majorEastAsia"/>
        </w:rPr>
        <w:t>Shutdown and Short-Duration Projects</w:t>
      </w:r>
      <w:r>
        <w:t xml:space="preserve"> (</w:t>
      </w:r>
      <w:hyperlink r:id="rId15" w:history="1">
        <w:r w:rsidRPr="00EA6181">
          <w:rPr>
            <w:rStyle w:val="Hyperlink"/>
          </w:rPr>
          <w:t>RS160A-1</w:t>
        </w:r>
      </w:hyperlink>
      <w:r>
        <w:t xml:space="preserve">, </w:t>
      </w:r>
      <w:hyperlink r:id="rId16" w:history="1">
        <w:r w:rsidRPr="00EA6181">
          <w:rPr>
            <w:rStyle w:val="Hyperlink"/>
          </w:rPr>
          <w:t>RR160A-11</w:t>
        </w:r>
      </w:hyperlink>
      <w:r>
        <w:t>): These projects benefit from strategies like hiring workers in advance, smaller crews, incentivized contracts, and short workweeks. Emphasizing planning, worker involvement, and tailored training ensures better safety performance under compressed timelines.</w:t>
      </w:r>
    </w:p>
    <w:p w14:paraId="0761606F" w14:textId="01624AD4" w:rsidR="00DF58F4" w:rsidRDefault="00DF58F4" w:rsidP="00DF58F4">
      <w:pPr>
        <w:pStyle w:val="NormalWeb"/>
        <w:numPr>
          <w:ilvl w:val="0"/>
          <w:numId w:val="8"/>
        </w:numPr>
      </w:pPr>
      <w:r>
        <w:rPr>
          <w:rStyle w:val="Strong"/>
          <w:rFonts w:eastAsiaTheme="majorEastAsia"/>
        </w:rPr>
        <w:t>Hazard Recognition Improvements</w:t>
      </w:r>
      <w:r>
        <w:t xml:space="preserve"> (</w:t>
      </w:r>
      <w:hyperlink r:id="rId17" w:history="1">
        <w:r w:rsidRPr="00EA6181">
          <w:rPr>
            <w:rStyle w:val="Hyperlink"/>
          </w:rPr>
          <w:t>RS293-1</w:t>
        </w:r>
      </w:hyperlink>
      <w:r>
        <w:t xml:space="preserve">, </w:t>
      </w:r>
      <w:hyperlink r:id="rId18" w:history="1">
        <w:r w:rsidRPr="00EA6181">
          <w:rPr>
            <w:rStyle w:val="Hyperlink"/>
          </w:rPr>
          <w:t>RR293-11</w:t>
        </w:r>
      </w:hyperlink>
      <w:r>
        <w:t>): Tools like the System for Augmented Virtuality Safety (SAVES) and hazard identification boards enhance hazard recognition by over 30%. These innovations address the industry's challenges in identifying dynamic hazards and significantly improve pre-task safety analyses.</w:t>
      </w:r>
    </w:p>
    <w:p w14:paraId="3DBD4875" w14:textId="0FBC336A" w:rsidR="00DF58F4" w:rsidRDefault="00DF58F4" w:rsidP="00DF58F4">
      <w:pPr>
        <w:pStyle w:val="NormalWeb"/>
        <w:numPr>
          <w:ilvl w:val="0"/>
          <w:numId w:val="8"/>
        </w:numPr>
      </w:pPr>
      <w:r>
        <w:rPr>
          <w:rStyle w:val="Strong"/>
          <w:rFonts w:eastAsiaTheme="majorEastAsia"/>
        </w:rPr>
        <w:t>Precursor Analysis for High-Impact, Low-Frequency Events</w:t>
      </w:r>
      <w:r>
        <w:t xml:space="preserve"> (</w:t>
      </w:r>
      <w:hyperlink r:id="rId19" w:history="1">
        <w:r w:rsidRPr="00EA6181">
          <w:rPr>
            <w:rStyle w:val="Hyperlink"/>
          </w:rPr>
          <w:t>RS321-1</w:t>
        </w:r>
      </w:hyperlink>
      <w:r>
        <w:t xml:space="preserve">, </w:t>
      </w:r>
      <w:hyperlink r:id="rId20" w:history="1">
        <w:r w:rsidRPr="00EA6181">
          <w:rPr>
            <w:rStyle w:val="Hyperlink"/>
          </w:rPr>
          <w:t>RR321-11</w:t>
        </w:r>
      </w:hyperlink>
      <w:r>
        <w:t>): Fatality prevention requires identifying detectable precursors to high-energy incidents. By integrating structured assessments, statistical modeling, and corrective actions, the construction industry can predict and mitigate risks effectively.</w:t>
      </w:r>
    </w:p>
    <w:p w14:paraId="21918AF2" w14:textId="10FC8B27" w:rsidR="00DF58F4" w:rsidRDefault="00DF58F4" w:rsidP="00DF58F4">
      <w:pPr>
        <w:pStyle w:val="NormalWeb"/>
        <w:numPr>
          <w:ilvl w:val="0"/>
          <w:numId w:val="8"/>
        </w:numPr>
      </w:pPr>
      <w:r>
        <w:rPr>
          <w:rStyle w:val="Strong"/>
          <w:rFonts w:eastAsiaTheme="majorEastAsia"/>
        </w:rPr>
        <w:t>Targeted Safety Programs</w:t>
      </w:r>
      <w:r>
        <w:t xml:space="preserve"> (</w:t>
      </w:r>
      <w:hyperlink r:id="rId21" w:history="1">
        <w:r w:rsidRPr="00564C63">
          <w:rPr>
            <w:rStyle w:val="Hyperlink"/>
          </w:rPr>
          <w:t>RR216-11</w:t>
        </w:r>
      </w:hyperlink>
      <w:r>
        <w:t>): Addressing specific hazards through nine-step targeted safety protocols improves safety outcomes. This structured approach includes initiation, monitoring, corrective action, and recognition phases, ensuring a comprehensive hazard mitigation strategy.</w:t>
      </w:r>
    </w:p>
    <w:p w14:paraId="678C229B" w14:textId="61602124" w:rsidR="00DF58F4" w:rsidRDefault="00DF58F4" w:rsidP="00DF58F4">
      <w:pPr>
        <w:pStyle w:val="NormalWeb"/>
        <w:numPr>
          <w:ilvl w:val="0"/>
          <w:numId w:val="8"/>
        </w:numPr>
      </w:pPr>
      <w:r>
        <w:rPr>
          <w:rStyle w:val="Strong"/>
          <w:rFonts w:eastAsiaTheme="majorEastAsia"/>
        </w:rPr>
        <w:t>Comprehensive Management Commitment</w:t>
      </w:r>
      <w:r>
        <w:t xml:space="preserve"> (</w:t>
      </w:r>
      <w:hyperlink r:id="rId22" w:history="1">
        <w:r w:rsidRPr="00564C63">
          <w:rPr>
            <w:rStyle w:val="Hyperlink"/>
          </w:rPr>
          <w:t>R</w:t>
        </w:r>
        <w:r w:rsidR="00564C63" w:rsidRPr="00564C63">
          <w:rPr>
            <w:rStyle w:val="Hyperlink"/>
            <w:rFonts w:eastAsiaTheme="minorEastAsia" w:hint="eastAsia"/>
          </w:rPr>
          <w:t>S</w:t>
        </w:r>
        <w:r w:rsidRPr="00564C63">
          <w:rPr>
            <w:rStyle w:val="Hyperlink"/>
          </w:rPr>
          <w:t>160</w:t>
        </w:r>
        <w:r w:rsidR="00564C63" w:rsidRPr="00564C63">
          <w:rPr>
            <w:rStyle w:val="Hyperlink"/>
            <w:rFonts w:eastAsiaTheme="minorEastAsia" w:hint="eastAsia"/>
          </w:rPr>
          <w:t>-1</w:t>
        </w:r>
      </w:hyperlink>
      <w:r>
        <w:t xml:space="preserve">, </w:t>
      </w:r>
      <w:hyperlink r:id="rId23" w:history="1">
        <w:r w:rsidRPr="00564C63">
          <w:rPr>
            <w:rStyle w:val="Hyperlink"/>
          </w:rPr>
          <w:t>SD-86</w:t>
        </w:r>
      </w:hyperlink>
      <w:r>
        <w:t xml:space="preserve">): Leadership's visible commitment, integration of safety in planning, pre-task analyses, and ongoing worker </w:t>
      </w:r>
      <w:r>
        <w:lastRenderedPageBreak/>
        <w:t>training are paramount. Coupled with subcontractor management and incentive programs, these efforts create a culture of safety excellence.</w:t>
      </w:r>
    </w:p>
    <w:p w14:paraId="119858B7" w14:textId="4EA72A86" w:rsidR="00D556E1" w:rsidRPr="002B50C7" w:rsidRDefault="00DF58F4" w:rsidP="008C41F1">
      <w:pPr>
        <w:pStyle w:val="NormalWeb"/>
      </w:pPr>
      <w:r>
        <w:t>Zero accident techniques demand a holistic approach involving leadership, strategic planning, and worker engagement at every project phase. By combining proactive measures, innovative tools, and rigorous safety protocols, these practices significantly enhance safety performance across diverse construction projects.</w:t>
      </w: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B468C" w14:textId="77777777" w:rsidR="008C1EC8" w:rsidRDefault="008C1EC8" w:rsidP="009F6396">
      <w:pPr>
        <w:spacing w:after="0" w:line="240" w:lineRule="auto"/>
      </w:pPr>
      <w:r>
        <w:separator/>
      </w:r>
    </w:p>
  </w:endnote>
  <w:endnote w:type="continuationSeparator" w:id="0">
    <w:p w14:paraId="1B271E21" w14:textId="77777777" w:rsidR="008C1EC8" w:rsidRDefault="008C1EC8"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EB957" w14:textId="77777777" w:rsidR="008C1EC8" w:rsidRDefault="008C1EC8" w:rsidP="009F6396">
      <w:pPr>
        <w:spacing w:after="0" w:line="240" w:lineRule="auto"/>
      </w:pPr>
      <w:r>
        <w:separator/>
      </w:r>
    </w:p>
  </w:footnote>
  <w:footnote w:type="continuationSeparator" w:id="0">
    <w:p w14:paraId="65B7B1A6" w14:textId="77777777" w:rsidR="008C1EC8" w:rsidRDefault="008C1EC8"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FE7012"/>
    <w:multiLevelType w:val="multilevel"/>
    <w:tmpl w:val="693A3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7"/>
  </w:num>
  <w:num w:numId="4" w16cid:durableId="642270163">
    <w:abstractNumId w:val="5"/>
  </w:num>
  <w:num w:numId="5" w16cid:durableId="147594471">
    <w:abstractNumId w:val="3"/>
  </w:num>
  <w:num w:numId="6" w16cid:durableId="1204832792">
    <w:abstractNumId w:val="4"/>
  </w:num>
  <w:num w:numId="7" w16cid:durableId="447966378">
    <w:abstractNumId w:val="2"/>
  </w:num>
  <w:num w:numId="8" w16cid:durableId="10403196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MqwFADLV7zctAAAA"/>
  </w:docVars>
  <w:rsids>
    <w:rsidRoot w:val="00B30BC0"/>
    <w:rsid w:val="00017DA3"/>
    <w:rsid w:val="000374DD"/>
    <w:rsid w:val="00037A4D"/>
    <w:rsid w:val="0005185C"/>
    <w:rsid w:val="000A3FD2"/>
    <w:rsid w:val="000D3987"/>
    <w:rsid w:val="000F06EE"/>
    <w:rsid w:val="00110278"/>
    <w:rsid w:val="001214BC"/>
    <w:rsid w:val="001356E0"/>
    <w:rsid w:val="00174592"/>
    <w:rsid w:val="001A118C"/>
    <w:rsid w:val="001D39CC"/>
    <w:rsid w:val="001F4E9C"/>
    <w:rsid w:val="00200B54"/>
    <w:rsid w:val="00222194"/>
    <w:rsid w:val="0023691A"/>
    <w:rsid w:val="00251733"/>
    <w:rsid w:val="0027452F"/>
    <w:rsid w:val="002B50C7"/>
    <w:rsid w:val="003A0542"/>
    <w:rsid w:val="003A0A11"/>
    <w:rsid w:val="003C41CC"/>
    <w:rsid w:val="003D62F3"/>
    <w:rsid w:val="003E0E68"/>
    <w:rsid w:val="003F6BF8"/>
    <w:rsid w:val="00416D70"/>
    <w:rsid w:val="004420D7"/>
    <w:rsid w:val="00484455"/>
    <w:rsid w:val="004D7476"/>
    <w:rsid w:val="004F3B58"/>
    <w:rsid w:val="004F7312"/>
    <w:rsid w:val="005366E5"/>
    <w:rsid w:val="00553CF5"/>
    <w:rsid w:val="00564C63"/>
    <w:rsid w:val="00576A3F"/>
    <w:rsid w:val="005B2673"/>
    <w:rsid w:val="0067243C"/>
    <w:rsid w:val="006814FC"/>
    <w:rsid w:val="006E1419"/>
    <w:rsid w:val="006F4836"/>
    <w:rsid w:val="00724F7D"/>
    <w:rsid w:val="007769CE"/>
    <w:rsid w:val="007E13D2"/>
    <w:rsid w:val="007E2CBA"/>
    <w:rsid w:val="00814252"/>
    <w:rsid w:val="0088691D"/>
    <w:rsid w:val="008921B2"/>
    <w:rsid w:val="008C1EC8"/>
    <w:rsid w:val="008C41F1"/>
    <w:rsid w:val="008E12CF"/>
    <w:rsid w:val="008F34F5"/>
    <w:rsid w:val="008F419F"/>
    <w:rsid w:val="0090696E"/>
    <w:rsid w:val="00927630"/>
    <w:rsid w:val="00932096"/>
    <w:rsid w:val="00947E5F"/>
    <w:rsid w:val="00963E67"/>
    <w:rsid w:val="00990B64"/>
    <w:rsid w:val="00996972"/>
    <w:rsid w:val="009A4F6B"/>
    <w:rsid w:val="009E1233"/>
    <w:rsid w:val="009E3CC9"/>
    <w:rsid w:val="009F6396"/>
    <w:rsid w:val="00A14A23"/>
    <w:rsid w:val="00A37ED8"/>
    <w:rsid w:val="00A445C7"/>
    <w:rsid w:val="00A6138A"/>
    <w:rsid w:val="00A918D2"/>
    <w:rsid w:val="00AC41AB"/>
    <w:rsid w:val="00AE50C0"/>
    <w:rsid w:val="00B01B3D"/>
    <w:rsid w:val="00B30BC0"/>
    <w:rsid w:val="00B32BE7"/>
    <w:rsid w:val="00B41694"/>
    <w:rsid w:val="00B45B24"/>
    <w:rsid w:val="00B6013E"/>
    <w:rsid w:val="00B60C88"/>
    <w:rsid w:val="00B80949"/>
    <w:rsid w:val="00B8592A"/>
    <w:rsid w:val="00BC24C2"/>
    <w:rsid w:val="00C223F9"/>
    <w:rsid w:val="00C62A84"/>
    <w:rsid w:val="00C8775D"/>
    <w:rsid w:val="00C87D93"/>
    <w:rsid w:val="00CE14D1"/>
    <w:rsid w:val="00D05012"/>
    <w:rsid w:val="00D14148"/>
    <w:rsid w:val="00D161ED"/>
    <w:rsid w:val="00D370E9"/>
    <w:rsid w:val="00D556E1"/>
    <w:rsid w:val="00DB7A9E"/>
    <w:rsid w:val="00DF58F4"/>
    <w:rsid w:val="00E26FF2"/>
    <w:rsid w:val="00E4104F"/>
    <w:rsid w:val="00E474A7"/>
    <w:rsid w:val="00E76848"/>
    <w:rsid w:val="00E9148E"/>
    <w:rsid w:val="00EA6181"/>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37A4D"/>
    <w:rPr>
      <w:color w:val="467886" w:themeColor="hyperlink"/>
      <w:u w:val="single"/>
    </w:rPr>
  </w:style>
  <w:style w:type="character" w:styleId="UnresolvedMention">
    <w:name w:val="Unresolved Mention"/>
    <w:basedOn w:val="DefaultParagraphFont"/>
    <w:uiPriority w:val="99"/>
    <w:semiHidden/>
    <w:unhideWhenUsed/>
    <w:rsid w:val="00037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261330">
      <w:bodyDiv w:val="1"/>
      <w:marLeft w:val="0"/>
      <w:marRight w:val="0"/>
      <w:marTop w:val="0"/>
      <w:marBottom w:val="0"/>
      <w:divBdr>
        <w:top w:val="none" w:sz="0" w:space="0" w:color="auto"/>
        <w:left w:val="none" w:sz="0" w:space="0" w:color="auto"/>
        <w:bottom w:val="none" w:sz="0" w:space="0" w:color="auto"/>
        <w:right w:val="none" w:sz="0" w:space="0" w:color="auto"/>
      </w:divBdr>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4849413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going-beyond-zero-using-safety-leading-indicators" TargetMode="External"/><Relationship Id="rId13" Type="http://schemas.openxmlformats.org/officeDocument/2006/relationships/hyperlink" Target="https://www.construction-institute.org/safety-performance-through-operational-excellence-phase-i" TargetMode="External"/><Relationship Id="rId18" Type="http://schemas.openxmlformats.org/officeDocument/2006/relationships/hyperlink" Target="https://www.construction-institute.org/strategies-for-improving-hazard-recognition"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s://www.construction-institute.org/target-safety-programs-focused-on-preventing-specific-hazards" TargetMode="External"/><Relationship Id="rId7" Type="http://schemas.openxmlformats.org/officeDocument/2006/relationships/hyperlink" Target="https://www.construction-institute.org/measuring-safety-performance-with-active-safety-leading-indicators-version-1-1" TargetMode="External"/><Relationship Id="rId12" Type="http://schemas.openxmlformats.org/officeDocument/2006/relationships/hyperlink" Target="https://www.construction-institute.org/using-near-miss-reporting-to-enhance-safety-performance" TargetMode="External"/><Relationship Id="rId17" Type="http://schemas.openxmlformats.org/officeDocument/2006/relationships/hyperlink" Target="https://www.construction-institute.org/strategies-for-improving-hazard-recognition-version-1-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nstruction-institute.org/making-zero-accidents-a-reality-focus-on-shutdowns-turnarounds-and-outages-837c0300ef2d52697e26b2b32a545645" TargetMode="External"/><Relationship Id="rId20" Type="http://schemas.openxmlformats.org/officeDocument/2006/relationships/hyperlink" Target="https://www.construction-institute.org/precursor-analysis-for-the-construction-industry-a-systematic-method-for-predicting-and-prevent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using-near-miss-reporting-to-enhance-safety-performance-4c629b51591dbe39a01ac5f1a923d18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nstruction-institute.org/making-zero-accidents-a-reality-focus-on-shutdowns-turnarounds-and-outages" TargetMode="External"/><Relationship Id="rId23" Type="http://schemas.openxmlformats.org/officeDocument/2006/relationships/hyperlink" Target="https://www.construction-institute.org/zero-accident-techniques" TargetMode="External"/><Relationship Id="rId28" Type="http://schemas.openxmlformats.org/officeDocument/2006/relationships/customXml" Target="../customXml/item3.xml"/><Relationship Id="rId10" Type="http://schemas.openxmlformats.org/officeDocument/2006/relationships/hyperlink" Target="https://www.construction-institute.org/the-owner-s-role-in-construction-safety" TargetMode="External"/><Relationship Id="rId19" Type="http://schemas.openxmlformats.org/officeDocument/2006/relationships/hyperlink" Target="https://www.construction-institute.org/precursors-of-high-impact-low-frequency-events-including-fatalities" TargetMode="External"/><Relationship Id="rId4" Type="http://schemas.openxmlformats.org/officeDocument/2006/relationships/webSettings" Target="webSettings.xml"/><Relationship Id="rId9" Type="http://schemas.openxmlformats.org/officeDocument/2006/relationships/hyperlink" Target="https://www.construction-institute.org/the-owners-role-in-construction-safety" TargetMode="External"/><Relationship Id="rId14" Type="http://schemas.openxmlformats.org/officeDocument/2006/relationships/hyperlink" Target="https://www.construction-institute.org/improving-site-safety-performance-through-operational-excellence-volume-ii" TargetMode="External"/><Relationship Id="rId22" Type="http://schemas.openxmlformats.org/officeDocument/2006/relationships/hyperlink" Target="https://www.construction-institute.org/safety-plus-making-zero-accidents-a-reality" TargetMode="Externa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EF960C6F-E84E-4E0E-B69C-796A5F408B7A}"/>
</file>

<file path=customXml/itemProps2.xml><?xml version="1.0" encoding="utf-8"?>
<ds:datastoreItem xmlns:ds="http://schemas.openxmlformats.org/officeDocument/2006/customXml" ds:itemID="{EF607576-B140-460F-BBCC-56E1CA1B4D4B}"/>
</file>

<file path=customXml/itemProps3.xml><?xml version="1.0" encoding="utf-8"?>
<ds:datastoreItem xmlns:ds="http://schemas.openxmlformats.org/officeDocument/2006/customXml" ds:itemID="{73D2583F-7420-4E66-854E-DD1527CA79E2}"/>
</file>

<file path=docProps/app.xml><?xml version="1.0" encoding="utf-8"?>
<Properties xmlns="http://schemas.openxmlformats.org/officeDocument/2006/extended-properties" xmlns:vt="http://schemas.openxmlformats.org/officeDocument/2006/docPropsVTypes">
  <Template>Normal</Template>
  <TotalTime>23</TotalTime>
  <Pages>2</Pages>
  <Words>456</Words>
  <Characters>3317</Characters>
  <Application>Microsoft Office Word</Application>
  <DocSecurity>0</DocSecurity>
  <Lines>49</Lines>
  <Paragraphs>13</Paragraphs>
  <ScaleCrop>false</ScaleCrop>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50</cp:revision>
  <dcterms:created xsi:type="dcterms:W3CDTF">2024-11-05T22:07:00Z</dcterms:created>
  <dcterms:modified xsi:type="dcterms:W3CDTF">2025-02-22T19:39:00Z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fe9b19d168da45bf11f438c8ce53b61d3dc9a5a6c85878bcecb2883a95cff545</vt:lpwstr>
  </property>
  <property fmtid="{D5CDD505-2E9C-101B-9397-08002B2CF9AE}" pid="3" name="ContentTypeId">
    <vt:lpwstr>0x0101001F56B6FB67BA7344822A4C8A67F56F7F</vt:lpwstr>
  </property>
</Properties>
</file>